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2DD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A7E0586" w14:textId="77777777" w:rsidR="003B77DA" w:rsidRDefault="003B77DA" w:rsidP="00DD5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41C4BA6" w14:textId="0FA6B80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3C225AF8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3B77DA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637DEBEF" w14:textId="69764906" w:rsidR="00C31DDB" w:rsidRDefault="003B77DA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DEMOLICIÓN</w:t>
      </w:r>
    </w:p>
    <w:p w14:paraId="6A6E26A4" w14:textId="77777777" w:rsidR="001733A8" w:rsidRDefault="001733A8" w:rsidP="001733A8">
      <w:pPr>
        <w:pStyle w:val="Default"/>
      </w:pPr>
    </w:p>
    <w:p w14:paraId="66E5D597" w14:textId="1354FB19" w:rsidR="00C10F82" w:rsidRDefault="001733A8" w:rsidP="001733A8">
      <w:pPr>
        <w:spacing w:after="0"/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Demolición completa de las construcciones existente ubicados en el Padrón 38</w:t>
      </w:r>
      <w:r>
        <w:rPr>
          <w:sz w:val="23"/>
          <w:szCs w:val="23"/>
        </w:rPr>
        <w:t>.</w:t>
      </w:r>
      <w:r>
        <w:rPr>
          <w:sz w:val="23"/>
          <w:szCs w:val="23"/>
        </w:rPr>
        <w:t>135, Salto Ciudad, departamento de Salto.</w:t>
      </w:r>
    </w:p>
    <w:p w14:paraId="55D7E3F2" w14:textId="77777777" w:rsidR="001733A8" w:rsidRDefault="001733A8" w:rsidP="001733A8">
      <w:pPr>
        <w:spacing w:after="0"/>
        <w:jc w:val="center"/>
        <w:rPr>
          <w:sz w:val="23"/>
          <w:szCs w:val="23"/>
        </w:rPr>
      </w:pPr>
    </w:p>
    <w:p w14:paraId="6BEBE758" w14:textId="77777777" w:rsidR="001733A8" w:rsidRPr="00EA0E8C" w:rsidRDefault="001733A8" w:rsidP="001733A8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740DDB5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3B77DA">
        <w:rPr>
          <w:rFonts w:ascii="Times New Roman" w:hAnsi="Times New Roman" w:cs="Times New Roman"/>
          <w:b/>
          <w:bCs/>
          <w:u w:val="single"/>
          <w:lang w:val="es-ES"/>
        </w:rPr>
        <w:t>30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0662F2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111969"/>
    <w:rsid w:val="00140257"/>
    <w:rsid w:val="001733A8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B77DA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20</cp:revision>
  <dcterms:created xsi:type="dcterms:W3CDTF">2020-11-19T17:15:00Z</dcterms:created>
  <dcterms:modified xsi:type="dcterms:W3CDTF">2023-04-04T14:11:00Z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